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69" w:rsidRPr="00E51369" w:rsidRDefault="00E51369" w:rsidP="00E51369">
      <w:pPr>
        <w:spacing w:before="100" w:beforeAutospacing="1" w:after="100" w:afterAutospacing="1" w:line="240" w:lineRule="auto"/>
        <w:rPr>
          <w:rFonts w:ascii="Times New Roman" w:eastAsia="Times New Roman" w:hAnsi="Times New Roman" w:cs="Times New Roman"/>
          <w:sz w:val="24"/>
          <w:szCs w:val="24"/>
          <w:lang w:eastAsia="pl-PL"/>
        </w:rPr>
      </w:pPr>
      <w:r w:rsidRPr="00E51369">
        <w:rPr>
          <w:rFonts w:ascii="Times New Roman" w:eastAsia="Times New Roman" w:hAnsi="Times New Roman" w:cs="Times New Roman"/>
          <w:b/>
          <w:bCs/>
          <w:sz w:val="24"/>
          <w:szCs w:val="24"/>
          <w:lang w:eastAsia="pl-PL"/>
        </w:rPr>
        <w:t xml:space="preserve">„Czy przedsiębiorca w czasie remontu punktu może prowadzić sprzedaż napojów alkoholowych z kontenera? </w:t>
      </w:r>
    </w:p>
    <w:p w:rsidR="00E51369" w:rsidRPr="00E51369" w:rsidRDefault="00E51369" w:rsidP="00E51369">
      <w:pPr>
        <w:spacing w:before="100" w:beforeAutospacing="1" w:after="100" w:afterAutospacing="1" w:line="240" w:lineRule="auto"/>
        <w:rPr>
          <w:rFonts w:ascii="Times New Roman" w:eastAsia="Times New Roman" w:hAnsi="Times New Roman" w:cs="Times New Roman"/>
          <w:sz w:val="24"/>
          <w:szCs w:val="24"/>
          <w:lang w:eastAsia="pl-PL"/>
        </w:rPr>
      </w:pPr>
      <w:r w:rsidRPr="00E51369">
        <w:rPr>
          <w:rFonts w:ascii="Times New Roman" w:eastAsia="Times New Roman" w:hAnsi="Times New Roman" w:cs="Times New Roman"/>
          <w:sz w:val="24"/>
          <w:szCs w:val="24"/>
          <w:lang w:eastAsia="pl-PL"/>
        </w:rPr>
        <w:t> </w:t>
      </w:r>
    </w:p>
    <w:p w:rsidR="00E51369" w:rsidRPr="00E51369" w:rsidRDefault="00E51369" w:rsidP="00E51369">
      <w:pPr>
        <w:spacing w:before="100" w:beforeAutospacing="1" w:after="100" w:afterAutospacing="1" w:line="240" w:lineRule="auto"/>
        <w:rPr>
          <w:rFonts w:ascii="Times New Roman" w:eastAsia="Times New Roman" w:hAnsi="Times New Roman" w:cs="Times New Roman"/>
          <w:sz w:val="24"/>
          <w:szCs w:val="24"/>
          <w:lang w:eastAsia="pl-PL"/>
        </w:rPr>
      </w:pPr>
      <w:r w:rsidRPr="00E51369">
        <w:rPr>
          <w:rFonts w:ascii="Times New Roman" w:eastAsia="Times New Roman" w:hAnsi="Times New Roman" w:cs="Times New Roman"/>
          <w:sz w:val="24"/>
          <w:szCs w:val="24"/>
          <w:lang w:eastAsia="pl-PL"/>
        </w:rPr>
        <w:t xml:space="preserve">Zgodnie z art. 18 ust. 7 </w:t>
      </w:r>
      <w:proofErr w:type="spellStart"/>
      <w:r w:rsidRPr="00E51369">
        <w:rPr>
          <w:rFonts w:ascii="Times New Roman" w:eastAsia="Times New Roman" w:hAnsi="Times New Roman" w:cs="Times New Roman"/>
          <w:sz w:val="24"/>
          <w:szCs w:val="24"/>
          <w:lang w:eastAsia="pl-PL"/>
        </w:rPr>
        <w:t>pkt</w:t>
      </w:r>
      <w:proofErr w:type="spellEnd"/>
      <w:r w:rsidRPr="00E51369">
        <w:rPr>
          <w:rFonts w:ascii="Times New Roman" w:eastAsia="Times New Roman" w:hAnsi="Times New Roman" w:cs="Times New Roman"/>
          <w:sz w:val="24"/>
          <w:szCs w:val="24"/>
          <w:lang w:eastAsia="pl-PL"/>
        </w:rPr>
        <w:t xml:space="preserve"> 6 ustawy z dnia 26 października 1982 r. o wychowaniu w trzeźwości i przeciwdziałaniu alkoholizmowi (Dz. U. z 2018 r. poz. 2137, ze zm.), warunkiem prowadzenia sprzedaży napojów alkoholowych do spożycia w miejscu lub poza miejscem sprzedaży jest wykonywanie działalności gospodarczej w zakresie objętym zezwoleniem tylko przez przedsiębiorcę w nim oznaczonego i wyłącznie w miejscu wymienionym w zezwoleniu. Z tego przepisu wyraźnie wynika, że ważność zezwolenia na sprzedaż napojów alkoholowych przeznaczonych do spożycia na miejscu lub poza miejscem sprzedaży zależy od współistnienia dwóch podstawowych elementów: konkretnego podmiotu prowadzącego sprzedaż napojów alkoholowych i funkcjonowania punktu tej sprzedaży w miejscu określonym w zezwoleniu. Innymi słowy mamy do czynienia z ograniczeniem podmiotowo-przedmiotowym.</w:t>
      </w:r>
    </w:p>
    <w:p w:rsidR="00E51369" w:rsidRPr="00E51369" w:rsidRDefault="00E51369" w:rsidP="00E51369">
      <w:pPr>
        <w:spacing w:before="100" w:beforeAutospacing="1" w:after="100" w:afterAutospacing="1" w:line="240" w:lineRule="auto"/>
        <w:rPr>
          <w:rFonts w:ascii="Times New Roman" w:eastAsia="Times New Roman" w:hAnsi="Times New Roman" w:cs="Times New Roman"/>
          <w:sz w:val="24"/>
          <w:szCs w:val="24"/>
          <w:lang w:eastAsia="pl-PL"/>
        </w:rPr>
      </w:pPr>
      <w:r w:rsidRPr="00E51369">
        <w:rPr>
          <w:rFonts w:ascii="Times New Roman" w:eastAsia="Times New Roman" w:hAnsi="Times New Roman" w:cs="Times New Roman"/>
          <w:sz w:val="24"/>
          <w:szCs w:val="24"/>
          <w:lang w:eastAsia="pl-PL"/>
        </w:rPr>
        <w:t xml:space="preserve">W orzecznictwie Naczelnego Sądu ugruntowane jest stanowisko, że zezwolenia na sprzedaż napojów alkoholowych mają charakter podmiotowo-przedmiotowy (vide wyrok Naczelnego Sądu Administracyjnego z dnia 14 marca 1997 r. sygn. akt II SA 1156/96).  Aspekt podmiotowy przejawia się w tym, iż zezwolenie skierowane jest do konkretnego przedsiębiorcy, zamierzającego prowadzić działalność gospodarczą polegającą na sprzedaży napojów alkoholowych. Zezwolenie nie może być więc przeniesione na następców prawnych uprawnionego, zarówno pod tytułem szczególnym (w tym np. na nabywców punktu sprzedaży, którego dotyczy dane zezwolenie), jak i ogólnym (np. spadkobierców). Aspekt przedmiotowy przejawia się natomiast w tym, że zezwolenie dotyczy zawsze konkretnego punktu sprzedaży. Jak wskazał zaś Naczelny Sąd Administracyjny (dalej NSA) w wyroku z dnia 20 lutego 2007 r., sygn. akt II OSK 350/06 (LEX nr 344615), „Zezwolenie jest decyzją administracyjną, aktem publicznoprawnym, jego przedmiotem jest udzielenie uprawnień publicznoprawnych, regulowanych przepisami prawa publicznego, ukierunkowanymi na ochronę interesu publicznego. To ochrona interesu publicznego (w tym m.in. ochrona zdrowia, życia, bezpieczeństwa, porządku publicznego) tkwi u podstaw zasady nieprzenoszalności uprawnień wynikających z koncesji, zezwoleń i licencji”. </w:t>
      </w:r>
    </w:p>
    <w:p w:rsidR="00E51369" w:rsidRPr="00E51369" w:rsidRDefault="00E51369" w:rsidP="00E51369">
      <w:pPr>
        <w:spacing w:before="100" w:beforeAutospacing="1" w:after="100" w:afterAutospacing="1" w:line="240" w:lineRule="auto"/>
        <w:rPr>
          <w:rFonts w:ascii="Times New Roman" w:eastAsia="Times New Roman" w:hAnsi="Times New Roman" w:cs="Times New Roman"/>
          <w:sz w:val="24"/>
          <w:szCs w:val="24"/>
          <w:lang w:eastAsia="pl-PL"/>
        </w:rPr>
      </w:pPr>
      <w:r w:rsidRPr="00E51369">
        <w:rPr>
          <w:rFonts w:ascii="Times New Roman" w:eastAsia="Times New Roman" w:hAnsi="Times New Roman" w:cs="Times New Roman"/>
          <w:sz w:val="24"/>
          <w:szCs w:val="24"/>
          <w:lang w:eastAsia="pl-PL"/>
        </w:rPr>
        <w:t>Z uwagi na powyższe, przedsiębiorca uprawniony jest do prowadzenia sprzedaży napojów alkoholowych tylko i wyłącznie w miejscu określonym w zezwoleniu np. w sklepie usytuowanym na stacji paliw. Zezwolenie to nie obejmuje możliwości sprzedaży napojów alkoholowych przez tego przedsiębiorcę z kontenera usytuowanego na terenie stacji paliw. Przedsiębiorca, aby móc sprzedawać napoje alkoholowe w przedmiotowym kontenerze usytuowanym na terenie stacji paliw powinien wystąpić do organu zezwalającego o wydanie nowego zezwolenia na sprzedaż napojów alkoholowych na ten punkt sprzedaży (kontener).</w:t>
      </w:r>
    </w:p>
    <w:p w:rsidR="00E51369" w:rsidRPr="00E51369" w:rsidRDefault="00E51369" w:rsidP="00E51369">
      <w:pPr>
        <w:spacing w:before="100" w:beforeAutospacing="1" w:after="100" w:afterAutospacing="1" w:line="240" w:lineRule="auto"/>
        <w:rPr>
          <w:rFonts w:ascii="Times New Roman" w:eastAsia="Times New Roman" w:hAnsi="Times New Roman" w:cs="Times New Roman"/>
          <w:sz w:val="24"/>
          <w:szCs w:val="24"/>
          <w:lang w:eastAsia="pl-PL"/>
        </w:rPr>
      </w:pPr>
      <w:r w:rsidRPr="00E51369">
        <w:rPr>
          <w:rFonts w:ascii="Times New Roman" w:eastAsia="Times New Roman" w:hAnsi="Times New Roman" w:cs="Times New Roman"/>
          <w:sz w:val="24"/>
          <w:szCs w:val="24"/>
          <w:lang w:eastAsia="pl-PL"/>
        </w:rPr>
        <w:t>Warto również zauważyć, że punkt sprzedaży musi spełniać wymogi określone przez radę gminy, przede wszystkim zaś musi odpowiadać zasadom usytuowania. W sytuacji  gdy przedsiębiorca chce prowadzić sprzedaż napojów alkoholowych z kontenera, powinien uzyskać odrębne zezwolenie po spełnieniu wszystkich wymogów, jakie wiąże z tym ustawa o wychowaniu w trzeźwości i przeciwdziałaniu alkoholizmowi, a zatem nie tylko posiadać decyzję o zatwierdzeniu zakładu wydaną przez państwowego inspektora sanitarnego na kontener, ale również, m.in. uzyskać pozytywną opinię gminnej komisji rozwiązywania problemów alkoholowych w przedmiocie zgodności z uchwałami rady gminy.”</w:t>
      </w:r>
    </w:p>
    <w:p w:rsidR="006A7BE4" w:rsidRPr="00E51369" w:rsidRDefault="006A7BE4" w:rsidP="00E51369"/>
    <w:sectPr w:rsidR="006A7BE4" w:rsidRPr="00E51369" w:rsidSect="006A7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1369"/>
    <w:rsid w:val="006A7BE4"/>
    <w:rsid w:val="00E513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B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513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62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3036</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2019-07-26T20:55:00Z</dcterms:created>
  <dcterms:modified xsi:type="dcterms:W3CDTF">2019-07-26T20:57:00Z</dcterms:modified>
</cp:coreProperties>
</file>